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8"/>
        <w:gridCol w:w="3827"/>
        <w:gridCol w:w="2832"/>
        <w:gridCol w:w="2750"/>
        <w:gridCol w:w="2793"/>
      </w:tblGrid>
      <w:tr w:rsidR="00A84CF6" w:rsidRPr="00D77BE0" w:rsidTr="00606ADA">
        <w:tc>
          <w:tcPr>
            <w:tcW w:w="14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A84CF6" w:rsidRPr="00D77BE0" w:rsidRDefault="00A84CF6" w:rsidP="00606ADA">
            <w:pPr>
              <w:spacing w:before="100" w:after="0" w:line="240" w:lineRule="auto"/>
              <w:jc w:val="center"/>
            </w:pPr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AREA GENERALE </w:t>
            </w:r>
            <w:proofErr w:type="gramStart"/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t>11</w:t>
            </w:r>
            <w:proofErr w:type="gramEnd"/>
          </w:p>
          <w:p w:rsidR="00A84CF6" w:rsidRPr="00D77BE0" w:rsidRDefault="00A84CF6" w:rsidP="00606ADA">
            <w:pPr>
              <w:spacing w:before="100" w:after="0" w:line="240" w:lineRule="auto"/>
              <w:jc w:val="center"/>
              <w:rPr>
                <w:rFonts w:ascii="Times New Roman" w:eastAsia="Times New Roman" w:hAnsi="Times New Roman"/>
                <w:lang w:eastAsia="it-IT"/>
              </w:rPr>
            </w:pPr>
          </w:p>
          <w:p w:rsidR="00A84CF6" w:rsidRPr="00D77BE0" w:rsidRDefault="00A84CF6" w:rsidP="00606ADA">
            <w:pPr>
              <w:spacing w:before="100" w:after="0" w:line="240" w:lineRule="auto"/>
              <w:jc w:val="center"/>
            </w:pPr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t>GESTIONE DELLE ENTRATE, DELLE SPESE E DEL PATRIMONIO</w:t>
            </w:r>
          </w:p>
        </w:tc>
      </w:tr>
      <w:tr w:rsidR="00F46633" w:rsidRPr="00D77BE0" w:rsidTr="00175FBB">
        <w:trPr>
          <w:trHeight w:val="1273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46633" w:rsidRPr="00D77BE0" w:rsidRDefault="00F46633" w:rsidP="00606ADA">
            <w:pPr>
              <w:spacing w:before="100" w:after="119" w:line="240" w:lineRule="auto"/>
            </w:pPr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t>Processi e procedimenti rilevanti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46633" w:rsidRPr="00D77BE0" w:rsidRDefault="00F46633" w:rsidP="00606ADA">
            <w:pPr>
              <w:spacing w:before="100" w:after="119" w:line="240" w:lineRule="auto"/>
            </w:pPr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t>Individuazione fattori di rischio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46633" w:rsidRPr="00D77BE0" w:rsidRDefault="00F46633" w:rsidP="00606ADA">
            <w:pPr>
              <w:spacing w:before="100" w:after="119" w:line="240" w:lineRule="auto"/>
              <w:jc w:val="center"/>
            </w:pPr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Anomalie </w:t>
            </w:r>
            <w:proofErr w:type="gramStart"/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t>significative</w:t>
            </w:r>
            <w:proofErr w:type="gramEnd"/>
          </w:p>
          <w:p w:rsidR="00F46633" w:rsidRPr="00D77BE0" w:rsidRDefault="00F46633" w:rsidP="00606ADA">
            <w:pPr>
              <w:spacing w:before="100" w:after="119" w:line="240" w:lineRule="auto"/>
              <w:jc w:val="center"/>
            </w:pPr>
            <w:proofErr w:type="gramStart"/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t>indicatori</w:t>
            </w:r>
            <w:proofErr w:type="gramEnd"/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46633" w:rsidRPr="00D77BE0" w:rsidRDefault="00F46633" w:rsidP="00606ADA">
            <w:pPr>
              <w:spacing w:before="100" w:after="119" w:line="240" w:lineRule="auto"/>
            </w:pPr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t>Misure di prevenzione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F46633" w:rsidRPr="00D77BE0" w:rsidRDefault="00F46633" w:rsidP="00606ADA">
            <w:pPr>
              <w:spacing w:before="100" w:after="119" w:line="240" w:lineRule="auto"/>
            </w:pPr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t>Indicazioni per attuazione delle misure</w:t>
            </w:r>
          </w:p>
        </w:tc>
      </w:tr>
      <w:tr w:rsidR="00D77BE0" w:rsidRPr="00D77BE0" w:rsidTr="001577C4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77BE0" w:rsidRPr="00D77BE0" w:rsidRDefault="00D77BE0" w:rsidP="00606ADA">
            <w:pPr>
              <w:spacing w:before="100" w:after="119" w:line="240" w:lineRule="auto"/>
              <w:ind w:left="136"/>
              <w:rPr>
                <w:rFonts w:ascii="Times New Roman" w:hAnsi="Times New Roman"/>
                <w:b/>
              </w:rPr>
            </w:pPr>
            <w:r w:rsidRPr="00D77BE0">
              <w:rPr>
                <w:rFonts w:ascii="Times New Roman" w:hAnsi="Times New Roman"/>
                <w:b/>
              </w:rPr>
              <w:t>Gestione dell’entrata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77BE0" w:rsidRPr="00D77BE0" w:rsidRDefault="00D77BE0" w:rsidP="00606ADA">
            <w:pPr>
              <w:spacing w:before="100" w:after="119" w:line="240" w:lineRule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Omissione di atti di accertamenti </w:t>
            </w:r>
          </w:p>
          <w:p w:rsidR="00D77BE0" w:rsidRPr="00D77BE0" w:rsidRDefault="00D77BE0" w:rsidP="00606ADA">
            <w:pPr>
              <w:spacing w:before="100" w:after="119" w:line="240" w:lineRule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>Ritardi nei procedimenti di riscossione delle entrate</w:t>
            </w:r>
          </w:p>
          <w:p w:rsidR="00D77BE0" w:rsidRPr="00D77BE0" w:rsidRDefault="00D77BE0" w:rsidP="00606ADA">
            <w:pPr>
              <w:spacing w:before="100" w:after="119" w:line="240" w:lineRule="auto"/>
              <w:rPr>
                <w:rFonts w:ascii="Times New Roman" w:eastAsia="Times New Roman" w:hAnsi="Times New Roman"/>
                <w:lang w:eastAsia="it-IT"/>
              </w:rPr>
            </w:pPr>
          </w:p>
          <w:p w:rsidR="00D77BE0" w:rsidRPr="00D77BE0" w:rsidRDefault="00D77BE0" w:rsidP="00606ADA">
            <w:pPr>
              <w:spacing w:before="100" w:after="119" w:line="240" w:lineRule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Tardiva trasmissione dei ruoli al concessionario della riscossione </w:t>
            </w:r>
          </w:p>
          <w:p w:rsidR="00D77BE0" w:rsidRPr="00D77BE0" w:rsidRDefault="00D77BE0" w:rsidP="00606ADA">
            <w:pPr>
              <w:spacing w:before="100" w:after="119" w:line="240" w:lineRule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</w:t>
            </w: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ricorso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a dilazioni, rimodulazioni del debito 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77BE0" w:rsidRPr="00D77BE0" w:rsidRDefault="00D77BE0" w:rsidP="00606ADA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Presenza anomala di residui attivi </w:t>
            </w:r>
          </w:p>
          <w:p w:rsidR="00D77BE0" w:rsidRPr="00D77BE0" w:rsidRDefault="00D77BE0" w:rsidP="00606ADA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lang w:eastAsia="it-IT"/>
              </w:rPr>
            </w:pPr>
          </w:p>
          <w:p w:rsidR="00D77BE0" w:rsidRPr="00D77BE0" w:rsidRDefault="00D77BE0" w:rsidP="00606ADA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lang w:eastAsia="it-IT"/>
              </w:rPr>
            </w:pP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scostamenti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tra previsioni di entrata e accertamenti</w:t>
            </w:r>
          </w:p>
          <w:p w:rsidR="00D77BE0" w:rsidRPr="00D77BE0" w:rsidRDefault="00D77BE0" w:rsidP="00606ADA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lang w:eastAsia="it-IT"/>
              </w:rPr>
            </w:pPr>
          </w:p>
          <w:p w:rsidR="00D77BE0" w:rsidRPr="00D77BE0" w:rsidRDefault="00D77BE0" w:rsidP="00606ADA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>Rilievi della</w:t>
            </w: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 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Corte dei Conti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77BE0" w:rsidRPr="00D77BE0" w:rsidRDefault="00D77BE0" w:rsidP="00606ADA">
            <w:pPr>
              <w:spacing w:before="100" w:after="119" w:line="240" w:lineRule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>Report periodico del Responsabile al RPC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D77BE0" w:rsidRPr="00D77BE0" w:rsidRDefault="00D77BE0" w:rsidP="00D77BE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7BE0">
              <w:rPr>
                <w:rFonts w:ascii="Times New Roman" w:hAnsi="Times New Roman"/>
                <w:color w:val="000000"/>
              </w:rPr>
              <w:t xml:space="preserve">Verifica costante </w:t>
            </w:r>
            <w:proofErr w:type="gramStart"/>
            <w:r w:rsidRPr="00D77BE0">
              <w:rPr>
                <w:rFonts w:ascii="Times New Roman" w:hAnsi="Times New Roman"/>
                <w:color w:val="000000"/>
              </w:rPr>
              <w:t xml:space="preserve">della </w:t>
            </w:r>
            <w:proofErr w:type="gramEnd"/>
            <w:r w:rsidRPr="00D77BE0">
              <w:rPr>
                <w:rFonts w:ascii="Times New Roman" w:hAnsi="Times New Roman"/>
                <w:color w:val="000000"/>
              </w:rPr>
              <w:t xml:space="preserve">applicazione </w:t>
            </w:r>
            <w:r w:rsidRPr="00D77BE0">
              <w:rPr>
                <w:rFonts w:ascii="Times New Roman" w:hAnsi="Times New Roman"/>
              </w:rPr>
              <w:t>della normativa di riferimento e degli atti regolamentari</w:t>
            </w:r>
          </w:p>
        </w:tc>
      </w:tr>
      <w:tr w:rsidR="00D77BE0" w:rsidRPr="00D77BE0" w:rsidTr="001577C4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77BE0" w:rsidRPr="00D77BE0" w:rsidRDefault="00D77BE0" w:rsidP="00C258DF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Entrate tributarie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77BE0" w:rsidRPr="00D77BE0" w:rsidRDefault="00D77BE0" w:rsidP="00C258DF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Aggiornamento parziale o errato banche </w:t>
            </w:r>
            <w:proofErr w:type="gramStart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dati</w:t>
            </w:r>
            <w:proofErr w:type="gramEnd"/>
          </w:p>
          <w:p w:rsidR="00D77BE0" w:rsidRPr="00D77BE0" w:rsidRDefault="00D77BE0" w:rsidP="00C258DF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Omesse o irregolari verifiche</w:t>
            </w:r>
          </w:p>
          <w:p w:rsidR="00D77BE0" w:rsidRPr="00D77BE0" w:rsidRDefault="00D77BE0" w:rsidP="00C258DF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D77BE0" w:rsidRPr="00D77BE0" w:rsidRDefault="00D77BE0" w:rsidP="00C258DF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Omesse o tardive trasmissioni dei ruoli al </w:t>
            </w:r>
            <w:proofErr w:type="gramStart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concessionario</w:t>
            </w:r>
            <w:proofErr w:type="gramEnd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 </w:t>
            </w:r>
          </w:p>
          <w:p w:rsidR="00D77BE0" w:rsidRPr="00D77BE0" w:rsidRDefault="00D77BE0" w:rsidP="00C258DF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77BE0" w:rsidRPr="00D77BE0" w:rsidRDefault="00D77BE0" w:rsidP="00C258DF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Formazione di residui attivi in eccesso</w:t>
            </w:r>
          </w:p>
          <w:p w:rsidR="00D77BE0" w:rsidRPr="00D77BE0" w:rsidRDefault="00D77BE0" w:rsidP="00C258DF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D77BE0" w:rsidRPr="00D77BE0" w:rsidRDefault="00D77BE0" w:rsidP="00C258DF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Danno erariale</w:t>
            </w:r>
          </w:p>
          <w:p w:rsidR="00D77BE0" w:rsidRPr="00D77BE0" w:rsidRDefault="00D77BE0" w:rsidP="00C258DF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D77BE0" w:rsidRPr="00D77BE0" w:rsidRDefault="00D77BE0" w:rsidP="00C258DF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Contenziosi</w:t>
            </w:r>
          </w:p>
          <w:p w:rsidR="00D77BE0" w:rsidRPr="00D77BE0" w:rsidRDefault="00D77BE0" w:rsidP="00C258DF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D77BE0" w:rsidRPr="00D77BE0" w:rsidRDefault="00D77BE0" w:rsidP="00C258DF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Eccessive richieste di sgravi</w:t>
            </w:r>
            <w:proofErr w:type="gramStart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 ,</w:t>
            </w:r>
            <w:proofErr w:type="gramEnd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 rimborsi e agevolazioni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77BE0" w:rsidRPr="00D77BE0" w:rsidRDefault="00D77BE0" w:rsidP="00C258DF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Aggiornamento costante banche dati</w:t>
            </w:r>
          </w:p>
          <w:p w:rsidR="00D77BE0" w:rsidRPr="00D77BE0" w:rsidRDefault="00D77BE0" w:rsidP="00C258DF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Controlli incrociati tra banche dati</w:t>
            </w:r>
          </w:p>
          <w:p w:rsidR="00D77BE0" w:rsidRPr="00D77BE0" w:rsidRDefault="00D77BE0" w:rsidP="00C258DF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Motivazione espressa su ogni provvedimento di sgravio</w:t>
            </w:r>
            <w:proofErr w:type="gramStart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 ,</w:t>
            </w:r>
            <w:proofErr w:type="gramEnd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 rimborso e agevolazione </w:t>
            </w:r>
          </w:p>
          <w:p w:rsidR="00D77BE0" w:rsidRPr="00D77BE0" w:rsidRDefault="00D77BE0" w:rsidP="00C258DF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D77BE0" w:rsidRDefault="00EA175C">
            <w:pPr>
              <w:rPr>
                <w:color w:val="000000"/>
                <w:sz w:val="24"/>
                <w:szCs w:val="24"/>
              </w:rPr>
            </w:pPr>
            <w:r w:rsidRPr="00D77BE0">
              <w:rPr>
                <w:rFonts w:ascii="Times New Roman" w:hAnsi="Times New Roman"/>
                <w:color w:val="000000"/>
              </w:rPr>
              <w:t xml:space="preserve">Verifica costante </w:t>
            </w:r>
            <w:proofErr w:type="gramStart"/>
            <w:r w:rsidRPr="00D77BE0">
              <w:rPr>
                <w:rFonts w:ascii="Times New Roman" w:hAnsi="Times New Roman"/>
                <w:color w:val="000000"/>
              </w:rPr>
              <w:t xml:space="preserve">della </w:t>
            </w:r>
            <w:proofErr w:type="gramEnd"/>
            <w:r w:rsidRPr="00D77BE0">
              <w:rPr>
                <w:rFonts w:ascii="Times New Roman" w:hAnsi="Times New Roman"/>
                <w:color w:val="000000"/>
              </w:rPr>
              <w:t xml:space="preserve">applicazione </w:t>
            </w:r>
            <w:r w:rsidRPr="00D77BE0">
              <w:rPr>
                <w:rFonts w:ascii="Times New Roman" w:hAnsi="Times New Roman"/>
              </w:rPr>
              <w:t>della normativa di riferimento e degli atti regolamentari</w:t>
            </w:r>
          </w:p>
        </w:tc>
      </w:tr>
      <w:tr w:rsidR="00D77BE0" w:rsidRPr="00D77BE0" w:rsidTr="001577C4">
        <w:trPr>
          <w:trHeight w:val="114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77BE0" w:rsidRPr="00D77BE0" w:rsidRDefault="00D77BE0" w:rsidP="00606ADA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lastRenderedPageBreak/>
              <w:t>Gestione della spesa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77BE0" w:rsidRPr="00D77BE0" w:rsidRDefault="00D77BE0" w:rsidP="009D0F9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Affidamenti in violazione delle norme sugli impegni </w:t>
            </w:r>
          </w:p>
          <w:p w:rsidR="00D77BE0" w:rsidRPr="00D77BE0" w:rsidRDefault="00D77BE0" w:rsidP="009D0F9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</w:p>
          <w:p w:rsidR="00D77BE0" w:rsidRPr="00D77BE0" w:rsidRDefault="00D77BE0" w:rsidP="009D0F9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>Liquidazione somme</w:t>
            </w: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 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>non dovute</w:t>
            </w:r>
          </w:p>
          <w:p w:rsidR="00D77BE0" w:rsidRPr="00D77BE0" w:rsidRDefault="00D77BE0" w:rsidP="009D0F9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</w:p>
          <w:p w:rsidR="00D77BE0" w:rsidRPr="00D77BE0" w:rsidRDefault="00D77BE0" w:rsidP="00285AB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Non rispetto </w:t>
            </w: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dei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</w:t>
            </w:r>
          </w:p>
          <w:p w:rsidR="00D77BE0" w:rsidRPr="00D77BE0" w:rsidRDefault="00D77BE0" w:rsidP="00285AB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tempi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di pagamento</w:t>
            </w:r>
          </w:p>
          <w:p w:rsidR="00D77BE0" w:rsidRPr="00D77BE0" w:rsidRDefault="00D77BE0" w:rsidP="00285AB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</w:p>
          <w:p w:rsidR="00D77BE0" w:rsidRPr="00D77BE0" w:rsidRDefault="00D77BE0" w:rsidP="00285AB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pagamenti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eseguiti </w:t>
            </w:r>
          </w:p>
          <w:p w:rsidR="00D77BE0" w:rsidRPr="00D77BE0" w:rsidRDefault="00D77BE0" w:rsidP="00285AB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senza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il rispetto </w:t>
            </w:r>
          </w:p>
          <w:p w:rsidR="00D77BE0" w:rsidRPr="00D77BE0" w:rsidRDefault="00D77BE0" w:rsidP="00285AB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dell’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ordine </w:t>
            </w:r>
          </w:p>
          <w:p w:rsidR="00D77BE0" w:rsidRPr="00D77BE0" w:rsidRDefault="00D77BE0" w:rsidP="00285AB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cronologico</w:t>
            </w:r>
            <w:proofErr w:type="gramEnd"/>
          </w:p>
          <w:p w:rsidR="00D77BE0" w:rsidRPr="00D77BE0" w:rsidRDefault="00D77BE0" w:rsidP="009D0F9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</w:p>
          <w:p w:rsidR="00D77BE0" w:rsidRPr="00D77BE0" w:rsidRDefault="00D77BE0" w:rsidP="00A213D9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Cs/>
                <w:lang w:eastAsia="it-IT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77BE0" w:rsidRPr="00D77BE0" w:rsidRDefault="00D77BE0" w:rsidP="00606ADA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Generazione di debiti fuori bilancio</w:t>
            </w:r>
          </w:p>
          <w:p w:rsidR="00D77BE0" w:rsidRPr="00D77BE0" w:rsidRDefault="00D77BE0" w:rsidP="00606ADA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D77BE0" w:rsidRPr="00D77BE0" w:rsidRDefault="00D77BE0" w:rsidP="00606ADA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D77BE0" w:rsidRPr="00D77BE0" w:rsidRDefault="00D77BE0" w:rsidP="00606ADA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D77BE0" w:rsidRPr="00D77BE0" w:rsidRDefault="00D77BE0" w:rsidP="00606ADA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D77BE0" w:rsidRPr="00D77BE0" w:rsidRDefault="00D77BE0" w:rsidP="00606ADA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Contenziosi</w:t>
            </w:r>
          </w:p>
          <w:p w:rsidR="00D77BE0" w:rsidRPr="00D77BE0" w:rsidRDefault="00D77BE0" w:rsidP="00606ADA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77BE0" w:rsidRPr="00D77BE0" w:rsidRDefault="00D77BE0" w:rsidP="00285AB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Pubblicazione sul sito internet dei tempi medi </w:t>
            </w:r>
          </w:p>
          <w:p w:rsidR="00D77BE0" w:rsidRPr="00D77BE0" w:rsidRDefault="00D77BE0" w:rsidP="00285AB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di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pagamento </w:t>
            </w:r>
          </w:p>
          <w:p w:rsidR="00D77BE0" w:rsidRPr="00D77BE0" w:rsidRDefault="00D77BE0" w:rsidP="00285AB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Monitoraggio e report periodico dei tempi </w:t>
            </w: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di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</w:t>
            </w:r>
          </w:p>
          <w:p w:rsidR="00D77BE0" w:rsidRPr="00D77BE0" w:rsidRDefault="00D77BE0" w:rsidP="00285AB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pagamento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delle fatture </w:t>
            </w:r>
          </w:p>
          <w:p w:rsidR="00D77BE0" w:rsidRPr="00D77BE0" w:rsidRDefault="00D77BE0" w:rsidP="00285AB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Determinazione dei casi di urgenza/priorità </w:t>
            </w: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dei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</w:t>
            </w:r>
          </w:p>
          <w:p w:rsidR="00D77BE0" w:rsidRPr="00D77BE0" w:rsidRDefault="00D77BE0" w:rsidP="00285AB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pagamenti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con esplicita motivazione della deroga al </w:t>
            </w:r>
          </w:p>
          <w:p w:rsidR="00D77BE0" w:rsidRPr="00D77BE0" w:rsidRDefault="00D77BE0" w:rsidP="00285AB0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criterio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cronologico</w:t>
            </w:r>
          </w:p>
          <w:p w:rsidR="00D77BE0" w:rsidRPr="00D77BE0" w:rsidRDefault="00D77BE0" w:rsidP="00606ADA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</w:p>
          <w:p w:rsidR="00D77BE0" w:rsidRPr="00D77BE0" w:rsidRDefault="00D77BE0" w:rsidP="00606ADA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  <w:proofErr w:type="gramStart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controlli</w:t>
            </w:r>
            <w:proofErr w:type="gramEnd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 a campione sulla regolarità delle procedure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D77BE0" w:rsidRDefault="00EA175C">
            <w:pPr>
              <w:rPr>
                <w:color w:val="000000"/>
                <w:sz w:val="24"/>
                <w:szCs w:val="24"/>
              </w:rPr>
            </w:pPr>
            <w:r w:rsidRPr="00D77BE0">
              <w:rPr>
                <w:rFonts w:ascii="Times New Roman" w:hAnsi="Times New Roman"/>
                <w:color w:val="000000"/>
              </w:rPr>
              <w:t xml:space="preserve">Verifica costante </w:t>
            </w:r>
            <w:proofErr w:type="gramStart"/>
            <w:r w:rsidRPr="00D77BE0">
              <w:rPr>
                <w:rFonts w:ascii="Times New Roman" w:hAnsi="Times New Roman"/>
                <w:color w:val="000000"/>
              </w:rPr>
              <w:t xml:space="preserve">della </w:t>
            </w:r>
            <w:proofErr w:type="gramEnd"/>
            <w:r w:rsidRPr="00D77BE0">
              <w:rPr>
                <w:rFonts w:ascii="Times New Roman" w:hAnsi="Times New Roman"/>
                <w:color w:val="000000"/>
              </w:rPr>
              <w:t xml:space="preserve">applicazione </w:t>
            </w:r>
            <w:r w:rsidRPr="00D77BE0">
              <w:rPr>
                <w:rFonts w:ascii="Times New Roman" w:hAnsi="Times New Roman"/>
              </w:rPr>
              <w:t>della normativa di riferimento e degli atti regolamentari</w:t>
            </w:r>
          </w:p>
        </w:tc>
      </w:tr>
      <w:tr w:rsidR="00D77BE0" w:rsidRPr="00D77BE0" w:rsidTr="001577C4">
        <w:trPr>
          <w:trHeight w:val="114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77BE0" w:rsidRDefault="00D77BE0" w:rsidP="00606ADA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/>
                <w:bCs/>
                <w:lang w:eastAsia="it-IT"/>
              </w:rPr>
              <w:t xml:space="preserve">Gestione del patrimonio </w:t>
            </w:r>
          </w:p>
          <w:p w:rsidR="00D77BE0" w:rsidRPr="00D77BE0" w:rsidRDefault="00D77BE0" w:rsidP="00606ADA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it-IT"/>
              </w:rPr>
              <w:t>(Alienazioni, fitti 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77BE0" w:rsidRPr="00D77BE0" w:rsidRDefault="00D77BE0" w:rsidP="005F1DEA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>Locazione</w:t>
            </w: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,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 alienazione e/o concessioni di immobili, senza il rispetto di criteri di  economicità e produttività (es. a prezzi inferiori ai valori di mercato, a titolo gratuito o di  liberalità);</w:t>
            </w:r>
          </w:p>
          <w:p w:rsidR="00D77BE0" w:rsidRPr="00D77BE0" w:rsidRDefault="00D77BE0" w:rsidP="005F1DEA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</w:p>
          <w:p w:rsidR="00D77BE0" w:rsidRPr="00D77BE0" w:rsidRDefault="00D77BE0" w:rsidP="005F1DEA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Locazione e/o alienazione e/o concessioni </w:t>
            </w: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di 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>immobili con procedure non regolari e scarsamente trasparenti al fine di favorire determinati soggetti.</w:t>
            </w:r>
          </w:p>
          <w:p w:rsidR="00D77BE0" w:rsidRPr="00D77BE0" w:rsidRDefault="00D77BE0" w:rsidP="005F1DEA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</w:p>
          <w:p w:rsidR="00D77BE0" w:rsidRPr="00D77BE0" w:rsidRDefault="00D77BE0" w:rsidP="005F1DEA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</w:p>
          <w:p w:rsidR="00D77BE0" w:rsidRPr="00D77BE0" w:rsidRDefault="00D77BE0" w:rsidP="005F1DEA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Mancanza e/o </w:t>
            </w: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carenza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nell’aggiornamento dell’inventario dei beni mobili;</w:t>
            </w:r>
          </w:p>
          <w:p w:rsidR="00D77BE0" w:rsidRPr="00D77BE0" w:rsidRDefault="00D77BE0" w:rsidP="005F1DEA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</w:p>
          <w:p w:rsidR="00D77BE0" w:rsidRPr="00D77BE0" w:rsidRDefault="00D77BE0" w:rsidP="005F1DEA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Mancanza e </w:t>
            </w:r>
            <w:proofErr w:type="gramStart"/>
            <w:r w:rsidRPr="00D77BE0">
              <w:rPr>
                <w:rFonts w:ascii="Times New Roman" w:eastAsia="Times New Roman" w:hAnsi="Times New Roman"/>
                <w:lang w:eastAsia="it-IT"/>
              </w:rPr>
              <w:t>carenza</w:t>
            </w:r>
            <w:proofErr w:type="gramEnd"/>
            <w:r w:rsidRPr="00D77BE0">
              <w:rPr>
                <w:rFonts w:ascii="Times New Roman" w:eastAsia="Times New Roman" w:hAnsi="Times New Roman"/>
                <w:lang w:eastAsia="it-IT"/>
              </w:rPr>
              <w:t xml:space="preserve"> di un elenco dei beni immobili e dei relativi titoli di deriv</w:t>
            </w:r>
            <w:r w:rsidRPr="00D77BE0">
              <w:rPr>
                <w:rFonts w:ascii="Times New Roman" w:hAnsi="Times New Roman"/>
              </w:rPr>
              <w:t>azione</w:t>
            </w:r>
          </w:p>
          <w:p w:rsidR="00D77BE0" w:rsidRPr="00D77BE0" w:rsidRDefault="00D77BE0" w:rsidP="005F1DEA">
            <w:pPr>
              <w:spacing w:before="100" w:after="119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77BE0" w:rsidRPr="00D77BE0" w:rsidRDefault="00D77BE0" w:rsidP="005F1DEA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Mancati introiti </w:t>
            </w:r>
            <w:proofErr w:type="gramStart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e</w:t>
            </w:r>
            <w:proofErr w:type="gramEnd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 </w:t>
            </w:r>
            <w:proofErr w:type="spellStart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enerazione</w:t>
            </w:r>
            <w:proofErr w:type="spellEnd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 di danno erariale</w:t>
            </w:r>
          </w:p>
          <w:p w:rsidR="00D77BE0" w:rsidRPr="00D77BE0" w:rsidRDefault="00D77BE0" w:rsidP="005F1DEA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D77BE0" w:rsidRPr="00D77BE0" w:rsidRDefault="00D77BE0" w:rsidP="005F1DEA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D77BE0" w:rsidRPr="00D77BE0" w:rsidRDefault="00D77BE0" w:rsidP="005F1DEA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Contenziosi, ricorsi</w:t>
            </w:r>
          </w:p>
          <w:p w:rsidR="00D77BE0" w:rsidRPr="00D77BE0" w:rsidRDefault="00D77BE0" w:rsidP="005F1DEA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D77BE0" w:rsidRPr="00D77BE0" w:rsidRDefault="00D77BE0" w:rsidP="005F1DEA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D77BE0" w:rsidRPr="00D77BE0" w:rsidRDefault="00D77BE0" w:rsidP="005F1DEA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D77BE0" w:rsidRPr="00D77BE0" w:rsidRDefault="00D77BE0" w:rsidP="005F1DEA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Incertezza sulla consistenza e sul valore dei beni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77BE0" w:rsidRPr="00D77BE0" w:rsidRDefault="00D77BE0" w:rsidP="00606ADA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  <w:proofErr w:type="gramStart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controlli</w:t>
            </w:r>
            <w:proofErr w:type="gramEnd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 xml:space="preserve"> a campione sulla regolarità delle procedure</w:t>
            </w:r>
          </w:p>
          <w:p w:rsidR="00D77BE0" w:rsidRPr="00D77BE0" w:rsidRDefault="00D77BE0" w:rsidP="00606ADA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D77BE0" w:rsidRPr="00D77BE0" w:rsidRDefault="00D77BE0" w:rsidP="00606ADA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Rispetto del regolamento consiliare recentemente approvato</w:t>
            </w:r>
          </w:p>
          <w:p w:rsidR="00D77BE0" w:rsidRPr="00D77BE0" w:rsidRDefault="00D77BE0" w:rsidP="00606ADA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D77BE0" w:rsidRPr="00D77BE0" w:rsidRDefault="00D77BE0" w:rsidP="00606ADA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D77BE0" w:rsidRPr="00D77BE0" w:rsidRDefault="00D77BE0" w:rsidP="00606ADA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</w:p>
          <w:p w:rsidR="00D77BE0" w:rsidRPr="00D77BE0" w:rsidRDefault="00D77BE0" w:rsidP="00606ADA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Pubblicazione di tutti i dati su Amministrazione trasparente e costante aggiornamento</w:t>
            </w: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D77BE0" w:rsidRDefault="00EA175C">
            <w:pPr>
              <w:rPr>
                <w:rFonts w:ascii="Times New Roman" w:hAnsi="Times New Roman"/>
              </w:rPr>
            </w:pPr>
            <w:r w:rsidRPr="00D77BE0">
              <w:rPr>
                <w:rFonts w:ascii="Times New Roman" w:hAnsi="Times New Roman"/>
                <w:color w:val="000000"/>
              </w:rPr>
              <w:t xml:space="preserve">Verifica costante </w:t>
            </w:r>
            <w:proofErr w:type="gramStart"/>
            <w:r w:rsidRPr="00D77BE0">
              <w:rPr>
                <w:rFonts w:ascii="Times New Roman" w:hAnsi="Times New Roman"/>
                <w:color w:val="000000"/>
              </w:rPr>
              <w:t xml:space="preserve">della </w:t>
            </w:r>
            <w:proofErr w:type="gramEnd"/>
            <w:r w:rsidRPr="00D77BE0">
              <w:rPr>
                <w:rFonts w:ascii="Times New Roman" w:hAnsi="Times New Roman"/>
                <w:color w:val="000000"/>
              </w:rPr>
              <w:t xml:space="preserve">applicazione </w:t>
            </w:r>
            <w:r w:rsidRPr="00D77BE0">
              <w:rPr>
                <w:rFonts w:ascii="Times New Roman" w:hAnsi="Times New Roman"/>
              </w:rPr>
              <w:t>della normativa di riferimento e degli atti regolamentari</w:t>
            </w:r>
          </w:p>
          <w:p w:rsidR="00CA59D8" w:rsidRDefault="00CA59D8">
            <w:pPr>
              <w:rPr>
                <w:rFonts w:ascii="Times New Roman" w:hAnsi="Times New Roman"/>
              </w:rPr>
            </w:pPr>
          </w:p>
          <w:p w:rsidR="00CA59D8" w:rsidRDefault="00CA59D8">
            <w:pPr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lang w:eastAsia="it-IT"/>
              </w:rPr>
              <w:t>Verifica su p</w:t>
            </w:r>
            <w:bookmarkStart w:id="0" w:name="_GoBack"/>
            <w:bookmarkEnd w:id="0"/>
            <w:r w:rsidRPr="00D77BE0">
              <w:rPr>
                <w:rFonts w:ascii="Times New Roman" w:eastAsia="Times New Roman" w:hAnsi="Times New Roman"/>
                <w:bCs/>
                <w:lang w:eastAsia="it-IT"/>
              </w:rPr>
              <w:t>ubblicazione di tutti i dati su Amministrazione trasparente</w:t>
            </w:r>
          </w:p>
        </w:tc>
      </w:tr>
      <w:tr w:rsidR="00D77BE0" w:rsidRPr="00D77BE0" w:rsidTr="001577C4">
        <w:trPr>
          <w:trHeight w:val="114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77BE0" w:rsidRPr="00D77BE0" w:rsidRDefault="00D77BE0" w:rsidP="00606ADA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77BE0" w:rsidRPr="00D77BE0" w:rsidRDefault="00D77BE0" w:rsidP="005F1DEA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77BE0" w:rsidRPr="00D77BE0" w:rsidRDefault="00D77BE0" w:rsidP="005F1DEA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77BE0" w:rsidRPr="00D77BE0" w:rsidRDefault="00D77BE0" w:rsidP="00606ADA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D77BE0" w:rsidRDefault="00D77BE0">
            <w:pPr>
              <w:rPr>
                <w:color w:val="000000"/>
                <w:sz w:val="24"/>
                <w:szCs w:val="24"/>
              </w:rPr>
            </w:pPr>
          </w:p>
        </w:tc>
      </w:tr>
      <w:tr w:rsidR="00D77BE0" w:rsidRPr="00D77BE0" w:rsidTr="001577C4">
        <w:trPr>
          <w:trHeight w:val="1140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77BE0" w:rsidRPr="00D77BE0" w:rsidRDefault="00D77BE0" w:rsidP="00606ADA">
            <w:pPr>
              <w:spacing w:before="100" w:after="119" w:line="240" w:lineRule="auto"/>
              <w:rPr>
                <w:rFonts w:ascii="Times New Roman" w:eastAsia="Times New Roman" w:hAnsi="Times New Roman"/>
                <w:b/>
                <w:bCs/>
                <w:lang w:eastAsia="it-IT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77BE0" w:rsidRPr="00D77BE0" w:rsidRDefault="00D77BE0" w:rsidP="005F1DEA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ascii="Times New Roman" w:eastAsia="Times New Roman" w:hAnsi="Times New Roman"/>
                <w:lang w:eastAsia="it-IT"/>
              </w:rPr>
            </w:pP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77BE0" w:rsidRPr="00D77BE0" w:rsidRDefault="00D77BE0" w:rsidP="005F1DEA">
            <w:pPr>
              <w:spacing w:before="100" w:after="119" w:line="240" w:lineRule="auto"/>
              <w:jc w:val="center"/>
              <w:rPr>
                <w:rFonts w:ascii="Times New Roman" w:eastAsia="Times New Roman" w:hAnsi="Times New Roman"/>
                <w:bCs/>
                <w:lang w:eastAsia="it-IT"/>
              </w:rPr>
            </w:pP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D77BE0" w:rsidRPr="00D77BE0" w:rsidRDefault="00D77BE0" w:rsidP="00606ADA">
            <w:pPr>
              <w:spacing w:before="100" w:after="119" w:line="240" w:lineRule="auto"/>
              <w:rPr>
                <w:rFonts w:ascii="Times New Roman" w:eastAsia="Times New Roman" w:hAnsi="Times New Roman"/>
                <w:bCs/>
                <w:lang w:eastAsia="it-IT"/>
              </w:rPr>
            </w:pPr>
          </w:p>
        </w:tc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D77BE0" w:rsidRDefault="00D77BE0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A84CF6" w:rsidRPr="00D77BE0" w:rsidRDefault="00A84CF6" w:rsidP="00A84CF6"/>
    <w:p w:rsidR="00A84CF6" w:rsidRPr="00D77BE0" w:rsidRDefault="00A84CF6" w:rsidP="00A84CF6"/>
    <w:p w:rsidR="00A84CF6" w:rsidRPr="00D77BE0" w:rsidRDefault="00A84CF6" w:rsidP="00A84CF6"/>
    <w:p w:rsidR="00D151C4" w:rsidRPr="00D77BE0" w:rsidRDefault="00D151C4"/>
    <w:sectPr w:rsidR="00D151C4" w:rsidRPr="00D77BE0">
      <w:pgSz w:w="16838" w:h="11906" w:orient="landscape"/>
      <w:pgMar w:top="1134" w:right="141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CF6"/>
    <w:rsid w:val="000A489C"/>
    <w:rsid w:val="00175FBB"/>
    <w:rsid w:val="00285AB0"/>
    <w:rsid w:val="00415397"/>
    <w:rsid w:val="004F327F"/>
    <w:rsid w:val="005F1DEA"/>
    <w:rsid w:val="00632689"/>
    <w:rsid w:val="00957481"/>
    <w:rsid w:val="009D0F92"/>
    <w:rsid w:val="009D19EE"/>
    <w:rsid w:val="00A213D9"/>
    <w:rsid w:val="00A55FAB"/>
    <w:rsid w:val="00A84CF6"/>
    <w:rsid w:val="00CA59D8"/>
    <w:rsid w:val="00D151C4"/>
    <w:rsid w:val="00D77BE0"/>
    <w:rsid w:val="00EA175C"/>
    <w:rsid w:val="00EC631E"/>
    <w:rsid w:val="00F46633"/>
    <w:rsid w:val="00F564EC"/>
    <w:rsid w:val="00FB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A84CF6"/>
    <w:pPr>
      <w:suppressAutoHyphens/>
      <w:autoSpaceDN w:val="0"/>
      <w:spacing w:line="251" w:lineRule="auto"/>
      <w:textAlignment w:val="baseline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A84CF6"/>
    <w:pPr>
      <w:suppressAutoHyphens/>
      <w:autoSpaceDN w:val="0"/>
      <w:spacing w:line="251" w:lineRule="auto"/>
      <w:textAlignment w:val="baseline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4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9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7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6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2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7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3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5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8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8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3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5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Baule</dc:creator>
  <cp:lastModifiedBy>Natalina Baule</cp:lastModifiedBy>
  <cp:revision>2</cp:revision>
  <dcterms:created xsi:type="dcterms:W3CDTF">2018-02-02T09:02:00Z</dcterms:created>
  <dcterms:modified xsi:type="dcterms:W3CDTF">2018-02-02T09:02:00Z</dcterms:modified>
</cp:coreProperties>
</file>